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644"/>
        <w:gridCol w:w="1076"/>
      </w:tblGrid>
      <w:tr>
        <w:trPr>
          <w:trHeight w:val="63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44" w:type="auto"/>
            <w:textDirection w:val="lrTb"/>
            <w:vAlign w:val="top"/>
          </w:tcPr>
          <w:p>
            <w:pPr>
              <w:ind w:right="0" w:left="7848"/>
              <w:spacing w:before="16" w:after="32" w:line="240" w:lineRule="auto"/>
              <w:jc w:val="right"/>
            </w:pPr>
            <w:r>
              <w:drawing>
                <wp:inline>
                  <wp:extent cx="494030" cy="37528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0" w:type="auto"/>
            <w:textDirection w:val="lrTb"/>
            <w:vAlign w:val="top"/>
          </w:tcPr>
          <w:p>
            <w:pPr>
              <w:ind w:right="0" w:left="36" w:firstLine="0"/>
              <w:spacing w:before="36" w:after="0" w:line="187" w:lineRule="auto"/>
              <w:jc w:val="left"/>
              <w:rPr>
                <w:color w:val="#0D0E0C"/>
                <w:sz w:val="16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D0E0C"/>
                <w:sz w:val="16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podpisany przez </w:t>
            </w:r>
            <w:r>
              <w:rPr>
                <w:color w:val="#0D0E0C"/>
                <w:sz w:val="16"/>
                <w:lang w:val="pl-PL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Marek Gilach </w:t>
            </w:r>
            <w:r>
              <w:rPr>
                <w:color w:val="#0D0E0C"/>
                <w:sz w:val="6"/>
                <w:lang w:val="pl-PL"/>
                <w:spacing w:val="-9"/>
                <w:w w:val="100"/>
                <w:strike w:val="false"/>
                <w:vertAlign w:val="superscript"/>
                <w:rFonts w:ascii="Times New Roman" w:hAnsi="Times New Roman"/>
              </w:rPr>
              <w:t xml:space="preserve">-</w:t>
            </w:r>
            <w:r>
              <w:rPr>
                <w:color w:val="#0D0E0C"/>
                <w:sz w:val="16"/>
                <w:lang w:val="pl-PL"/>
                <w:spacing w:val="-9"/>
                <w:w w:val="100"/>
                <w:strike w:val="false"/>
                <w:vertAlign w:val="baseline"/>
                <w:rFonts w:ascii="Times New Roman" w:hAnsi="Times New Roman"/>
              </w:rPr>
              <w:t xml:space="preserve">Daia: 2016.12.20 </w:t>
            </w:r>
            <w:r>
              <w:rPr>
                <w:color w:val="#0D0E0C"/>
                <w:sz w:val="16"/>
                <w:lang w:val="pl-PL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11:S4:20 CET</w:t>
            </w:r>
          </w:p>
        </w:tc>
      </w:tr>
    </w:tbl>
    <w:p>
      <w:pPr>
        <w:spacing w:before="0" w:after="52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57"/>
        <w:gridCol w:w="7855"/>
      </w:tblGrid>
      <w:tr>
        <w:trPr>
          <w:trHeight w:val="172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57" w:type="auto"/>
            <w:textDirection w:val="lrTb"/>
            <w:vAlign w:val="top"/>
          </w:tcPr>
          <w:p>
            <w:pPr>
              <w:ind w:right="201" w:left="101"/>
              <w:spacing w:before="22" w:after="72" w:line="240" w:lineRule="auto"/>
              <w:jc w:val="left"/>
            </w:pPr>
            <w:r>
              <w:drawing>
                <wp:inline>
                  <wp:extent cx="914400" cy="103568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single" w:sz="10" w:color="#3D3D3B"/>
              <w:left w:val="none" w:sz="0" w:color="#000000"/>
              <w:right w:val="none" w:sz="0" w:color="#000000"/>
            </w:tcBorders>
            <w:tcW w:w="9612" w:type="auto"/>
            <w:textDirection w:val="lrTb"/>
            <w:vAlign w:val="top"/>
          </w:tcPr>
          <w:p>
            <w:pPr>
              <w:ind w:right="0" w:left="0" w:firstLine="0"/>
              <w:spacing w:before="0" w:after="0" w:line="199" w:lineRule="auto"/>
              <w:jc w:val="center"/>
              <w:rPr>
                <w:b w:val="true"/>
                <w:color w:val="#0D0E0C"/>
                <w:sz w:val="95"/>
                <w:lang w:val="pl-PL"/>
                <w:spacing w:val="-10"/>
                <w:w w:val="9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D0E0C"/>
                <w:sz w:val="95"/>
                <w:lang w:val="pl-PL"/>
                <w:spacing w:val="-10"/>
                <w:w w:val="90"/>
                <w:strike w:val="false"/>
                <w:vertAlign w:val="baseline"/>
                <w:rFonts w:ascii="Times New Roman" w:hAnsi="Times New Roman"/>
              </w:rPr>
              <w:t xml:space="preserve">DZIENNIK USTAW</w:t>
            </w:r>
          </w:p>
          <w:p>
            <w:pPr>
              <w:ind w:right="0" w:left="0" w:firstLine="0"/>
              <w:spacing w:before="216" w:after="0" w:line="204" w:lineRule="auto"/>
              <w:jc w:val="center"/>
              <w:rPr>
                <w:b w:val="true"/>
                <w:color w:val="#0D0E0C"/>
                <w:sz w:val="53"/>
                <w:lang w:val="pl-PL"/>
                <w:spacing w:val="-5"/>
                <w:w w:val="9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D0E0C"/>
                <w:sz w:val="53"/>
                <w:lang w:val="pl-PL"/>
                <w:spacing w:val="-5"/>
                <w:w w:val="95"/>
                <w:strike w:val="false"/>
                <w:vertAlign w:val="baseline"/>
                <w:rFonts w:ascii="Times New Roman" w:hAnsi="Times New Roman"/>
              </w:rPr>
              <w:t xml:space="preserve">RZECZYPOSPOLITEJ POLSKIEJ</w:t>
            </w:r>
          </w:p>
        </w:tc>
      </w:tr>
      <w:tr>
        <w:trPr>
          <w:trHeight w:val="1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5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0" w:color="#3D3D3B"/>
              <w:bottom w:val="none" w:sz="0" w:color="#000000"/>
              <w:left w:val="none" w:sz="0" w:color="#000000"/>
              <w:right w:val="none" w:sz="0" w:color="#000000"/>
            </w:tcBorders>
            <w:tcW w:w="9612" w:type="auto"/>
            <w:textDirection w:val="lrTb"/>
            <w:vAlign w:val="top"/>
          </w:tcPr>
          <w:p/>
        </w:tc>
      </w:tr>
    </w:tbl>
    <w:p>
      <w:pPr>
        <w:spacing w:before="0" w:after="484" w:line="20" w:lineRule="exact"/>
      </w:pPr>
    </w:p>
    <w:p>
      <w:pPr>
        <w:ind w:right="0" w:left="0" w:firstLine="0"/>
        <w:spacing w:before="0" w:after="0" w:line="415" w:lineRule="auto"/>
        <w:jc w:val="center"/>
        <w:rPr>
          <w:color w:val="#0D0E0C"/>
          <w:sz w:val="28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D0E0C"/>
          <w:sz w:val="28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Warszawa, dnia 20 grudnia 2016 r.
</w:t>
        <w:br/>
      </w:r>
      <w:r>
        <w:rPr>
          <w:color w:val="#0D0E0C"/>
          <w:sz w:val="28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Poz. 2091</w:t>
      </w:r>
    </w:p>
    <w:p>
      <w:pPr>
        <w:ind w:right="0" w:left="0" w:firstLine="0"/>
        <w:spacing w:before="504" w:after="0" w:line="360" w:lineRule="auto"/>
        <w:jc w:val="center"/>
        <w:rPr>
          <w:b w:val="true"/>
          <w:color w:val="#0D0E0C"/>
          <w:sz w:val="20"/>
          <w:lang w:val="pl-PL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D0E0C"/>
          <w:sz w:val="20"/>
          <w:lang w:val="pl-PL"/>
          <w:spacing w:val="10"/>
          <w:w w:val="100"/>
          <w:strike w:val="false"/>
          <w:vertAlign w:val="baseline"/>
          <w:rFonts w:ascii="Times New Roman" w:hAnsi="Times New Roman"/>
        </w:rPr>
        <w:t xml:space="preserve">ROZPORZ</w:t>
        <w:br/>
      </w:r>
      <w:r>
        <w:rPr>
          <w:b w:val="true"/>
          <w:color w:val="#0D0E0C"/>
          <w:sz w:val="20"/>
          <w:lang w:val="pl-PL"/>
          <w:spacing w:val="10"/>
          <w:w w:val="100"/>
          <w:strike w:val="false"/>
          <w:vertAlign w:val="baseline"/>
          <w:rFonts w:ascii="Times New Roman" w:hAnsi="Times New Roman"/>
        </w:rPr>
        <w:t xml:space="preserve">ĄDZENIE
</w:t>
        <w:br/>
      </w:r>
      <w:r>
        <w:rPr>
          <w:b w:val="true"/>
          <w:color w:val="#0D0E0C"/>
          <w:sz w:val="20"/>
          <w:lang w:val="pl-PL"/>
          <w:spacing w:val="12"/>
          <w:w w:val="100"/>
          <w:strike w:val="false"/>
          <w:vertAlign w:val="baseline"/>
          <w:rFonts w:ascii="Times New Roman" w:hAnsi="Times New Roman"/>
        </w:rPr>
        <w:t xml:space="preserve">MINISTRA ROLNICTWA I ROZWOJU WSI'</w:t>
      </w:r>
      <w:r>
        <w:rPr>
          <w:b w:val="true"/>
          <w:color w:val="#0D0E0C"/>
          <w:sz w:val="20"/>
          <w:lang w:val="pl-PL"/>
          <w:spacing w:val="12"/>
          <w:w w:val="100"/>
          <w:strike w:val="false"/>
          <w:vertAlign w:val="superscript"/>
          <w:rFonts w:ascii="Times New Roman" w:hAnsi="Times New Roman"/>
        </w:rPr>
        <w:t xml:space="preserve">)</w:t>
      </w:r>
      <w:r>
        <w:rPr>
          <w:b w:val="true"/>
          <w:color w:val="#0D0E0C"/>
          <w:sz w:val="20"/>
          <w:lang w:val="pl-PL"/>
          <w:spacing w:val="12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 dnia 20 grudnia 2016 r.
</w:t>
        <w:br/>
      </w:r>
      <w:r>
        <w:rPr>
          <w:b w:val="true"/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w sprawie zarządzenia środków związanych z wystąpieniem wysoce zjadliwej grypy ptaków</w:t>
      </w:r>
    </w:p>
    <w:p>
      <w:pPr>
        <w:ind w:right="144" w:left="0" w:firstLine="360"/>
        <w:spacing w:before="144" w:after="0" w:line="240" w:lineRule="auto"/>
        <w:jc w:val="left"/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Na podstawie art. 47 ust. I ustawy z dnia 11 marca 2004 r, o ochronie zdrowia zwierz</w:t>
      </w: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ąt oraz zwalczaniu chorób zakaź</w:t>
        <w:softHyphen/>
      </w: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nych zwierząt (Dz. U. z 2014 r. poz. 1539, z 2015 r. poz. 266 i 470 oraz z 2016 r. poz. 1605) zarządza się, co następuje:</w:t>
      </w:r>
    </w:p>
    <w:p>
      <w:pPr>
        <w:ind w:right="144" w:left="0" w:firstLine="432"/>
        <w:spacing w:before="108" w:after="0" w:line="240" w:lineRule="auto"/>
        <w:jc w:val="left"/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§ 1.. 1. W zwi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ązku z wystąpieniem wysoce zjadliwej grypy ptaków wywołanej wirusem grypy A podtypu H5 i 1-17, </w:t>
      </w: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na terytorium Rzeczypospolitej Polskiej:</w:t>
      </w:r>
    </w:p>
    <w:p>
      <w:pPr>
        <w:ind w:right="0" w:left="0" w:firstLine="0"/>
        <w:spacing w:before="144" w:after="0" w:line="240" w:lineRule="auto"/>
        <w:jc w:val="left"/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  <w:t xml:space="preserve">1) zakazuje si</w:t>
      </w:r>
      <w:r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  <w:t xml:space="preserve">ę:</w:t>
      </w:r>
    </w:p>
    <w:p>
      <w:pPr>
        <w:ind w:right="144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organizowania targów, wystaw, pokazów lub konkursów z udzia</w:t>
      </w: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łem żywych kur, kaczek, gęsi, indyków, przepió</w:t>
        <w:softHyphen/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rek, perlic, </w:t>
      </w:r>
      <w:r>
        <w:rPr>
          <w:color w:val="#0D0E0C"/>
          <w:sz w:val="18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strusi 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oraz innych bezgrzebieniowców, gołębi, bażantów i kuropatw, z wyłączeniem lotów treningo</w:t>
        <w:softHyphen/>
      </w: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wych lub lotów konkursowych gołębi,</w:t>
      </w:r>
    </w:p>
    <w:p>
      <w:pPr>
        <w:ind w:right="144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przechowywania i prezentacji w celu sprzeda</w:t>
      </w:r>
      <w:r>
        <w:rPr>
          <w:color w:val="#0D0E0C"/>
          <w:sz w:val="20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ży, oferowania do sprzedaży, sprzedaży, dostarczania oraz każdego 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innego sposobu zbycia ptaków, o których mowa w lit. a, na targowiskach,</w:t>
      </w:r>
    </w:p>
    <w:p>
      <w:pPr>
        <w:ind w:right="144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pojenia drobiu oraz ptaków utrzymywanych przez cz</w:t>
      </w: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łowieka wodą ze zbiorników, do których dostęp mają dzikie </w:t>
      </w:r>
      <w:r>
        <w:rPr>
          <w:color w:val="#0D0E0C"/>
          <w:sz w:val="20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ptaki,</w:t>
      </w:r>
    </w:p>
    <w:p>
      <w:pPr>
        <w:ind w:right="144" w:left="792" w:firstLine="-36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wnoszenia i wwo</w:t>
      </w: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żenia na teren gospodarstwa, w którym jest utrzymywany drób, zwłok dzikich ptaków lub tusz ptaków łownych;</w:t>
      </w:r>
    </w:p>
    <w:p>
      <w:pPr>
        <w:ind w:right="0" w:left="0" w:firstLine="0"/>
        <w:spacing w:before="108" w:after="0" w:line="240" w:lineRule="auto"/>
        <w:jc w:val="left"/>
        <w:rPr>
          <w:color w:val="#0D0E0C"/>
          <w:sz w:val="20"/>
          <w:lang w:val="pl-PL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8"/>
          <w:w w:val="100"/>
          <w:strike w:val="false"/>
          <w:vertAlign w:val="baseline"/>
          <w:rFonts w:ascii="Times New Roman" w:hAnsi="Times New Roman"/>
        </w:rPr>
        <w:t xml:space="preserve">2) nakazuje </w:t>
      </w:r>
      <w:r>
        <w:rPr>
          <w:color w:val="#0D0E0C"/>
          <w:sz w:val="18"/>
          <w:lang w:val="pl-PL"/>
          <w:spacing w:val="8"/>
          <w:w w:val="100"/>
          <w:strike w:val="false"/>
          <w:vertAlign w:val="baseline"/>
          <w:rFonts w:ascii="Times New Roman" w:hAnsi="Times New Roman"/>
        </w:rPr>
        <w:t xml:space="preserve">si</w:t>
      </w:r>
      <w:r>
        <w:rPr>
          <w:color w:val="#0D0E0C"/>
          <w:sz w:val="18"/>
          <w:lang w:val="pl-PL"/>
          <w:spacing w:val="8"/>
          <w:w w:val="100"/>
          <w:strike w:val="false"/>
          <w:vertAlign w:val="baseline"/>
          <w:rFonts w:ascii="Times New Roman" w:hAnsi="Times New Roman"/>
        </w:rPr>
        <w:t xml:space="preserve">ę:</w:t>
      </w:r>
    </w:p>
    <w:p>
      <w:pPr>
        <w:ind w:right="144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3"/>
        </w:numP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odosobnienie drobiu lub innych ptaków w gospodarstwie, w szczególno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ści w zamkniętych obiektach budowla</w:t>
        <w:softHyphen/>
      </w:r>
      <w: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nych lub innych miejscach, w sposób uniemożliwiający kontakt z drobiem lub innymi ptakami utrzymywanymi 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w innych gospodarstwach oraz ograniczający ich kontakt z dzikimi ptakami,</w:t>
      </w:r>
    </w:p>
    <w:p>
      <w:pPr>
        <w:ind w:right="144" w:left="792" w:firstLine="-36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zg</w:t>
      </w:r>
      <w:r>
        <w:rPr>
          <w:color w:val="#0D0E0C"/>
          <w:sz w:val="20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łaszanie do powiatowego lekarza weterynarii miejsc, w których jest utrzymywany drób lub inne ptaki, z wyłą</w:t>
        <w:softHyphen/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czeniem ptaków utrzymywanych stale w pomieszczeniach mieszkalnych,</w:t>
      </w:r>
    </w:p>
    <w:p>
      <w:pPr>
        <w:ind w:right="144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D0E0C"/>
          <w:sz w:val="20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utrzymywanie drobiu w sposób wykluczaj</w:t>
      </w:r>
      <w:r>
        <w:rPr>
          <w:color w:val="#0D0E0C"/>
          <w:sz w:val="20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ący jego dostęp do zbiorników wodnych, do których dostęp mają dzikie </w:t>
      </w:r>
      <w:r>
        <w:rPr>
          <w:color w:val="#0D0E0C"/>
          <w:sz w:val="20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ptaki,</w:t>
      </w:r>
    </w:p>
    <w:p>
      <w:pPr>
        <w:ind w:right="144" w:left="792" w:firstLine="-36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zg</w:t>
      </w:r>
      <w: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łaszanie powiatowemu lekarzowi weterynarii właściwemu dla miejsca wysyłki, co najmniej na 24 godziny 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przed przemieszczeniem, informacji o planowanym przemieszczeniu przesyłek drobiu obejmujących:</w:t>
      </w:r>
    </w:p>
    <w:p>
      <w:pPr>
        <w:ind w:right="0" w:left="792" w:firstLine="0"/>
        <w:spacing w:before="108" w:after="0" w:line="264" w:lineRule="auto"/>
        <w:jc w:val="left"/>
        <w:tabs>
          <w:tab w:val="clear" w:pos="288"/>
          <w:tab w:val="decimal" w:pos="1080"/>
        </w:tabs>
        <w:numPr>
          <w:ilvl w:val="0"/>
          <w:numId w:val="4"/>
        </w:numP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rodzaj przesy</w:t>
      </w:r>
      <w:r>
        <w:rPr>
          <w:color w:val="#0D0E0C"/>
          <w:sz w:val="20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łki, ze wskazaniem odpowiednio gatunku drobiu, piskląt jednodniowych albo jaj wylęgowych,</w:t>
      </w:r>
    </w:p>
    <w:p>
      <w:pPr>
        <w:ind w:right="0" w:left="792" w:firstLine="0"/>
        <w:spacing w:before="108" w:after="288" w:line="240" w:lineRule="auto"/>
        <w:jc w:val="left"/>
        <w:tabs>
          <w:tab w:val="clear" w:pos="288"/>
          <w:tab w:val="decimal" w:pos="1080"/>
        </w:tabs>
        <w:numPr>
          <w:ilvl w:val="0"/>
          <w:numId w:val="4"/>
        </w:numPr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  <w:t xml:space="preserve">dat</w:t>
      </w:r>
      <w:r>
        <w:rPr>
          <w:color w:val="#0D0E0C"/>
          <w:sz w:val="20"/>
          <w:lang w:val="pl-PL"/>
          <w:spacing w:val="6"/>
          <w:w w:val="100"/>
          <w:strike w:val="false"/>
          <w:vertAlign w:val="baseline"/>
          <w:rFonts w:ascii="Times New Roman" w:hAnsi="Times New Roman"/>
        </w:rPr>
        <w:t xml:space="preserve">ę przemieszczenia,</w:t>
      </w:r>
    </w:p>
    <w:p>
      <w:pPr>
        <w:ind w:right="144" w:left="216" w:firstLine="-216"/>
        <w:spacing w:before="108" w:after="0" w:line="240" w:lineRule="auto"/>
        <w:jc w:val="both"/>
        <w:rPr>
          <w:color w:val="#0D0E0C"/>
          <w:sz w:val="13"/>
          <w:lang w:val="pl-PL"/>
          <w:spacing w:val="-3"/>
          <w:w w:val="70"/>
          <w:strike w:val="false"/>
          <w:vertAlign w:val="superscript"/>
          <w:rFonts w:ascii="Times New Roman" w:hAnsi="Times New Roman"/>
        </w:rPr>
      </w:pPr>
      <w:r>
        <w:pict>
          <v:line strokeweight="0.9pt" strokecolor="#323230" from="0pt,0.5pt" to="139.95pt,0.5pt" style="position:absolute;mso-position-horizontal-relative:text;mso-position-vertical-relative:text;">
            <v:stroke dashstyle="solid"/>
          </v:line>
        </w:pict>
      </w:r>
      <w:r>
        <w:rPr>
          <w:color w:val="#0D0E0C"/>
          <w:sz w:val="13"/>
          <w:lang w:val="pl-PL"/>
          <w:spacing w:val="-3"/>
          <w:w w:val="70"/>
          <w:strike w:val="false"/>
          <w:vertAlign w:val="superscript"/>
          <w:rFonts w:ascii="Times New Roman" w:hAnsi="Times New Roman"/>
        </w:rPr>
        <w:t xml:space="preserve">I)</w:t>
      </w:r>
      <w:r>
        <w:rPr>
          <w:color w:val="#0D0E0C"/>
          <w:sz w:val="18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 Minister Rolnictwa i Rozwoju Wsi kieruje dzia</w:t>
      </w:r>
      <w:r>
        <w:rPr>
          <w:color w:val="#0D0E0C"/>
          <w:sz w:val="18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łem administracji rządowej — rolnictwo, na podstawie § 1 ust. 2 pkt 1 rozporządzenia </w:t>
      </w:r>
      <w:r>
        <w:rPr>
          <w:color w:val="#0D0E0C"/>
          <w:sz w:val="18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Prezesa Rady Ministrów z dnia 17 listopada 2015 r. w sprawie szczegółowego zakresu działania Ministra Rolnictwa </w:t>
      </w:r>
      <w:r>
        <w:rPr>
          <w:color w:val="#0D0E0C"/>
          <w:sz w:val="20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i </w:t>
      </w:r>
      <w:r>
        <w:rPr>
          <w:color w:val="#0D0E0C"/>
          <w:sz w:val="18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Rozwoju Wsi (Dz. U. poz. 1906).</w:t>
      </w:r>
    </w:p>
    <w:sectPr>
      <w:pgSz w:w="11918" w:h="16854" w:orient="portrait"/>
      <w:type w:val="nextPage"/>
      <w:textDirection w:val="lrTb"/>
      <w:pgMar w:bottom="750" w:top="954" w:right="1047" w:left="109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D0E0C"/>
        <w:sz w:val="20"/>
        <w:lang w:val="pl-PL"/>
        <w:spacing w:val="-3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D0E0C"/>
        <w:sz w:val="20"/>
        <w:lang w:val="pl-PL"/>
        <w:spacing w:val="-2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bullet"/>
      <w:lvlText w:val="—"/>
      <w:start w:val="1"/>
      <w:lvlJc w:val="left"/>
      <w:pPr>
        <w:ind w:left="720"/>
        <w:tabs>
          <w:tab w:val="decimal" w:pos="288"/>
        </w:tabs>
      </w:pPr>
      <w:rPr>
        <w:color w:val="#0D0E0C"/>
        <w:sz w:val="20"/>
        <w:lang w:val="pl-PL"/>
        <w:spacing w:val="-1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numbering" Target="/word/numbering.xm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